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6B5D0" w14:textId="1990195E" w:rsidR="009A57AC" w:rsidRPr="008D7AFD" w:rsidRDefault="009A57AC" w:rsidP="007C3DBE">
      <w:pPr>
        <w:spacing w:after="0" w:line="240" w:lineRule="auto"/>
        <w:rPr>
          <w:b/>
          <w:bCs/>
          <w:sz w:val="28"/>
          <w:szCs w:val="28"/>
        </w:rPr>
      </w:pPr>
      <w:bookmarkStart w:id="0" w:name="_GoBack"/>
      <w:bookmarkEnd w:id="0"/>
      <w:r w:rsidRPr="008D7AFD">
        <w:rPr>
          <w:b/>
          <w:bCs/>
          <w:sz w:val="28"/>
          <w:szCs w:val="28"/>
        </w:rPr>
        <w:t>MODOS Programme FAQs</w:t>
      </w:r>
    </w:p>
    <w:p w14:paraId="0229D2FE" w14:textId="77777777" w:rsidR="009A57AC" w:rsidRPr="008D7AFD" w:rsidRDefault="009A57AC" w:rsidP="007C3DBE">
      <w:pPr>
        <w:spacing w:after="0" w:line="240" w:lineRule="auto"/>
        <w:rPr>
          <w:b/>
          <w:bCs/>
        </w:rPr>
      </w:pPr>
    </w:p>
    <w:p w14:paraId="362A49CF" w14:textId="2B124B34" w:rsidR="007C3DBE" w:rsidRPr="008D7AFD" w:rsidRDefault="007C3DBE" w:rsidP="007C3DBE">
      <w:pPr>
        <w:spacing w:after="0" w:line="240" w:lineRule="auto"/>
        <w:rPr>
          <w:b/>
          <w:bCs/>
        </w:rPr>
      </w:pPr>
      <w:r w:rsidRPr="008D7AFD">
        <w:rPr>
          <w:b/>
          <w:bCs/>
        </w:rPr>
        <w:t xml:space="preserve">Is the content being delivered in the Dublin MODOS programme the same as the content being delivered in the </w:t>
      </w:r>
      <w:r w:rsidR="008D7AFD">
        <w:rPr>
          <w:b/>
          <w:bCs/>
        </w:rPr>
        <w:t>N</w:t>
      </w:r>
      <w:r w:rsidRPr="008D7AFD">
        <w:rPr>
          <w:b/>
          <w:bCs/>
        </w:rPr>
        <w:t xml:space="preserve">ational MODOS programme? </w:t>
      </w:r>
    </w:p>
    <w:p w14:paraId="0F5E4C84" w14:textId="77777777" w:rsidR="007C3DBE" w:rsidRPr="008D7AFD" w:rsidRDefault="007C3DBE" w:rsidP="007C3DBE">
      <w:r w:rsidRPr="008D7AFD">
        <w:t xml:space="preserve">In order to accommodate a larger number of businesses for MODOS 2020, we are running twin MODOS programmes, one specifically for businesses in the Greater Dublin Area (GDA) and the other as a nationally available course for businesses outside of the GDA.   </w:t>
      </w:r>
    </w:p>
    <w:p w14:paraId="686C81E5" w14:textId="77777777" w:rsidR="008D7AFD" w:rsidRPr="008D7AFD" w:rsidRDefault="008D7AFD" w:rsidP="008D7AFD">
      <w:r w:rsidRPr="008D7AFD">
        <w:t xml:space="preserve">The Dublin MODOS programme will be delivered by sustainability consultants, </w:t>
      </w:r>
      <w:hyperlink r:id="rId5" w:history="1">
        <w:r w:rsidRPr="008D7AFD">
          <w:rPr>
            <w:rStyle w:val="Hyperlink"/>
            <w:i/>
          </w:rPr>
          <w:t>SustainabilityWorks</w:t>
        </w:r>
      </w:hyperlink>
      <w:r w:rsidRPr="008D7AFD">
        <w:t xml:space="preserve">, on behalf of DCC and the National MODOS programme will be delivered by sustainability consultants, </w:t>
      </w:r>
      <w:hyperlink r:id="rId6" w:history="1">
        <w:r w:rsidRPr="008D7AFD">
          <w:rPr>
            <w:rStyle w:val="Hyperlink"/>
            <w:i/>
          </w:rPr>
          <w:t>Clearstream Solutions</w:t>
        </w:r>
      </w:hyperlink>
      <w:r w:rsidRPr="008D7AFD">
        <w:t xml:space="preserve">, in collaboration with the </w:t>
      </w:r>
      <w:hyperlink r:id="rId7" w:history="1">
        <w:r w:rsidRPr="008D7AFD">
          <w:rPr>
            <w:rStyle w:val="Hyperlink"/>
            <w:i/>
          </w:rPr>
          <w:t>Clean Technology Centre</w:t>
        </w:r>
      </w:hyperlink>
      <w:r w:rsidRPr="008D7AFD">
        <w:t xml:space="preserve"> and </w:t>
      </w:r>
      <w:hyperlink r:id="rId8" w:history="1">
        <w:r w:rsidRPr="008D7AFD">
          <w:rPr>
            <w:rStyle w:val="Hyperlink"/>
            <w:i/>
          </w:rPr>
          <w:t>Change by Degrees</w:t>
        </w:r>
      </w:hyperlink>
      <w:r w:rsidRPr="008D7AFD">
        <w:t xml:space="preserve">. </w:t>
      </w:r>
    </w:p>
    <w:p w14:paraId="29E4990F" w14:textId="77777777" w:rsidR="007C3DBE" w:rsidRPr="008D7AFD" w:rsidRDefault="007C3DBE" w:rsidP="007C3DBE">
      <w:r w:rsidRPr="008D7AFD">
        <w:t xml:space="preserve">The modules for each programme will contain broadly similar content, but naturally each trainer will bring their own approach and style to the training. The following table sets out the training modules being delivered in Dublin and nationally. </w:t>
      </w:r>
    </w:p>
    <w:tbl>
      <w:tblPr>
        <w:tblStyle w:val="TableGrid"/>
        <w:tblW w:w="0" w:type="auto"/>
        <w:tblLook w:val="04A0" w:firstRow="1" w:lastRow="0" w:firstColumn="1" w:lastColumn="0" w:noHBand="0" w:noVBand="1"/>
      </w:tblPr>
      <w:tblGrid>
        <w:gridCol w:w="3005"/>
        <w:gridCol w:w="3005"/>
        <w:gridCol w:w="3006"/>
      </w:tblGrid>
      <w:tr w:rsidR="007C3DBE" w:rsidRPr="008D7AFD" w14:paraId="57113CB9" w14:textId="77777777" w:rsidTr="007C3DBE">
        <w:tc>
          <w:tcPr>
            <w:tcW w:w="3005" w:type="dxa"/>
          </w:tcPr>
          <w:p w14:paraId="41D0A021" w14:textId="77777777" w:rsidR="007C3DBE" w:rsidRPr="008D7AFD" w:rsidRDefault="007C3DBE" w:rsidP="007C3DBE">
            <w:pPr>
              <w:rPr>
                <w:b/>
                <w:bCs/>
                <w:sz w:val="20"/>
                <w:szCs w:val="20"/>
              </w:rPr>
            </w:pPr>
            <w:r w:rsidRPr="008D7AFD">
              <w:rPr>
                <w:b/>
                <w:bCs/>
                <w:sz w:val="20"/>
                <w:szCs w:val="20"/>
              </w:rPr>
              <w:t>Dublin MODOS Modules</w:t>
            </w:r>
          </w:p>
        </w:tc>
        <w:tc>
          <w:tcPr>
            <w:tcW w:w="3005" w:type="dxa"/>
          </w:tcPr>
          <w:p w14:paraId="7B9BD6FE" w14:textId="77777777" w:rsidR="007C3DBE" w:rsidRPr="008D7AFD" w:rsidRDefault="007C3DBE" w:rsidP="007C3DBE">
            <w:pPr>
              <w:rPr>
                <w:b/>
                <w:bCs/>
                <w:sz w:val="20"/>
                <w:szCs w:val="20"/>
              </w:rPr>
            </w:pPr>
            <w:r w:rsidRPr="008D7AFD">
              <w:rPr>
                <w:b/>
                <w:bCs/>
                <w:sz w:val="20"/>
                <w:szCs w:val="20"/>
              </w:rPr>
              <w:t>National MODOS Modules</w:t>
            </w:r>
          </w:p>
        </w:tc>
        <w:tc>
          <w:tcPr>
            <w:tcW w:w="3006" w:type="dxa"/>
          </w:tcPr>
          <w:p w14:paraId="2493D9A4" w14:textId="30A96CE5" w:rsidR="007C3DBE" w:rsidRPr="008D7AFD" w:rsidRDefault="007C3DBE" w:rsidP="007C3DBE">
            <w:pPr>
              <w:rPr>
                <w:b/>
                <w:bCs/>
                <w:sz w:val="20"/>
                <w:szCs w:val="20"/>
              </w:rPr>
            </w:pPr>
            <w:r w:rsidRPr="008D7AFD">
              <w:rPr>
                <w:b/>
                <w:bCs/>
                <w:sz w:val="20"/>
                <w:szCs w:val="20"/>
              </w:rPr>
              <w:t>Course content</w:t>
            </w:r>
          </w:p>
        </w:tc>
      </w:tr>
      <w:tr w:rsidR="007C3DBE" w:rsidRPr="008D7AFD" w14:paraId="37DCE08E" w14:textId="77777777" w:rsidTr="007C3DBE">
        <w:tc>
          <w:tcPr>
            <w:tcW w:w="3005" w:type="dxa"/>
          </w:tcPr>
          <w:p w14:paraId="4B535E5F" w14:textId="77777777" w:rsidR="007C3DBE" w:rsidRPr="008D7AFD" w:rsidRDefault="007C3DBE" w:rsidP="007C3DBE">
            <w:pPr>
              <w:rPr>
                <w:sz w:val="20"/>
                <w:szCs w:val="20"/>
              </w:rPr>
            </w:pPr>
            <w:r w:rsidRPr="008D7AFD">
              <w:rPr>
                <w:sz w:val="20"/>
                <w:szCs w:val="20"/>
              </w:rPr>
              <w:t>Module 1: Circular Economy 101</w:t>
            </w:r>
          </w:p>
        </w:tc>
        <w:tc>
          <w:tcPr>
            <w:tcW w:w="3005" w:type="dxa"/>
          </w:tcPr>
          <w:p w14:paraId="58584232" w14:textId="77777777" w:rsidR="007C3DBE" w:rsidRPr="008D7AFD" w:rsidRDefault="007C3DBE" w:rsidP="007C3DBE">
            <w:pPr>
              <w:rPr>
                <w:sz w:val="20"/>
                <w:szCs w:val="20"/>
              </w:rPr>
            </w:pPr>
            <w:r w:rsidRPr="008D7AFD">
              <w:rPr>
                <w:sz w:val="20"/>
                <w:szCs w:val="20"/>
              </w:rPr>
              <w:t>Module 1: Circular Economy Introduction and Principles</w:t>
            </w:r>
          </w:p>
        </w:tc>
        <w:tc>
          <w:tcPr>
            <w:tcW w:w="3006" w:type="dxa"/>
          </w:tcPr>
          <w:p w14:paraId="35CE5B0B" w14:textId="6EC34ED3" w:rsidR="007C3DBE" w:rsidRPr="008D7AFD" w:rsidRDefault="007C3DBE" w:rsidP="007C3DBE">
            <w:pPr>
              <w:pStyle w:val="ListParagraph"/>
              <w:numPr>
                <w:ilvl w:val="0"/>
                <w:numId w:val="5"/>
              </w:numPr>
              <w:ind w:left="398" w:hanging="284"/>
              <w:rPr>
                <w:sz w:val="20"/>
                <w:szCs w:val="20"/>
              </w:rPr>
            </w:pPr>
            <w:r w:rsidRPr="008D7AFD">
              <w:rPr>
                <w:sz w:val="20"/>
                <w:szCs w:val="20"/>
              </w:rPr>
              <w:t>Introduction to the circular economy</w:t>
            </w:r>
          </w:p>
          <w:p w14:paraId="767B292C" w14:textId="1B093181" w:rsidR="007C3DBE" w:rsidRPr="008D7AFD" w:rsidRDefault="007C3DBE" w:rsidP="007C3DBE">
            <w:pPr>
              <w:pStyle w:val="ListParagraph"/>
              <w:numPr>
                <w:ilvl w:val="0"/>
                <w:numId w:val="5"/>
              </w:numPr>
              <w:ind w:left="398" w:hanging="284"/>
              <w:rPr>
                <w:sz w:val="20"/>
                <w:szCs w:val="20"/>
              </w:rPr>
            </w:pPr>
            <w:r w:rsidRPr="008D7AFD">
              <w:rPr>
                <w:sz w:val="20"/>
                <w:szCs w:val="20"/>
              </w:rPr>
              <w:t>Principles of the Circular Economy</w:t>
            </w:r>
          </w:p>
          <w:p w14:paraId="1D95455D" w14:textId="20E06B51" w:rsidR="007C3DBE" w:rsidRPr="008D7AFD" w:rsidRDefault="007C3DBE" w:rsidP="007C3DBE">
            <w:pPr>
              <w:pStyle w:val="ListParagraph"/>
              <w:numPr>
                <w:ilvl w:val="0"/>
                <w:numId w:val="5"/>
              </w:numPr>
              <w:spacing w:after="160" w:line="259" w:lineRule="auto"/>
              <w:ind w:left="398" w:hanging="284"/>
              <w:rPr>
                <w:sz w:val="20"/>
                <w:szCs w:val="20"/>
              </w:rPr>
            </w:pPr>
            <w:r w:rsidRPr="008D7AFD">
              <w:rPr>
                <w:sz w:val="20"/>
                <w:szCs w:val="20"/>
              </w:rPr>
              <w:t>The Business Case for circular</w:t>
            </w:r>
          </w:p>
          <w:p w14:paraId="10917908" w14:textId="21A7DC94" w:rsidR="007C3DBE" w:rsidRPr="008D7AFD" w:rsidRDefault="007C3DBE" w:rsidP="008D7AFD">
            <w:pPr>
              <w:ind w:left="114"/>
            </w:pPr>
          </w:p>
        </w:tc>
      </w:tr>
      <w:tr w:rsidR="007C3DBE" w:rsidRPr="008D7AFD" w14:paraId="4B7E4975" w14:textId="77777777" w:rsidTr="007C3DBE">
        <w:tc>
          <w:tcPr>
            <w:tcW w:w="3005" w:type="dxa"/>
          </w:tcPr>
          <w:p w14:paraId="2F9F675A" w14:textId="77777777" w:rsidR="007C3DBE" w:rsidRPr="008D7AFD" w:rsidRDefault="007C3DBE" w:rsidP="007C3DBE">
            <w:pPr>
              <w:rPr>
                <w:sz w:val="20"/>
                <w:szCs w:val="20"/>
              </w:rPr>
            </w:pPr>
            <w:r w:rsidRPr="008D7AFD">
              <w:rPr>
                <w:sz w:val="20"/>
                <w:szCs w:val="20"/>
              </w:rPr>
              <w:t xml:space="preserve">Module 2: Circular economy in your supply chain </w:t>
            </w:r>
          </w:p>
        </w:tc>
        <w:tc>
          <w:tcPr>
            <w:tcW w:w="3005" w:type="dxa"/>
          </w:tcPr>
          <w:p w14:paraId="114CB147" w14:textId="77777777" w:rsidR="007C3DBE" w:rsidRPr="008D7AFD" w:rsidRDefault="007C3DBE" w:rsidP="007C3DBE">
            <w:pPr>
              <w:rPr>
                <w:sz w:val="20"/>
                <w:szCs w:val="20"/>
              </w:rPr>
            </w:pPr>
            <w:r w:rsidRPr="008D7AFD">
              <w:rPr>
                <w:sz w:val="20"/>
                <w:szCs w:val="20"/>
              </w:rPr>
              <w:t>Module 2: The role of Sustainable Procurement &amp; Supply Chain and Design Thinking</w:t>
            </w:r>
          </w:p>
        </w:tc>
        <w:tc>
          <w:tcPr>
            <w:tcW w:w="3006" w:type="dxa"/>
          </w:tcPr>
          <w:p w14:paraId="2E81E42B" w14:textId="619598C2" w:rsidR="007C3DBE" w:rsidRPr="008D7AFD" w:rsidRDefault="007C3DBE" w:rsidP="007C3DBE">
            <w:pPr>
              <w:pStyle w:val="ListParagraph"/>
              <w:numPr>
                <w:ilvl w:val="0"/>
                <w:numId w:val="5"/>
              </w:numPr>
              <w:ind w:left="398" w:hanging="284"/>
              <w:rPr>
                <w:sz w:val="20"/>
                <w:szCs w:val="20"/>
              </w:rPr>
            </w:pPr>
            <w:r w:rsidRPr="008D7AFD">
              <w:rPr>
                <w:sz w:val="20"/>
                <w:szCs w:val="20"/>
              </w:rPr>
              <w:t>Importance of a sustainable supply chain</w:t>
            </w:r>
          </w:p>
          <w:p w14:paraId="481B0F47" w14:textId="2DEA9C5A" w:rsidR="007C3DBE" w:rsidRPr="008D7AFD" w:rsidRDefault="007C3DBE" w:rsidP="007C3DBE">
            <w:pPr>
              <w:pStyle w:val="ListParagraph"/>
              <w:numPr>
                <w:ilvl w:val="0"/>
                <w:numId w:val="5"/>
              </w:numPr>
              <w:ind w:left="398" w:hanging="284"/>
              <w:rPr>
                <w:sz w:val="20"/>
                <w:szCs w:val="20"/>
              </w:rPr>
            </w:pPr>
            <w:r w:rsidRPr="008D7AFD">
              <w:rPr>
                <w:sz w:val="20"/>
                <w:szCs w:val="20"/>
              </w:rPr>
              <w:t>Implementing circularity in the supply chain</w:t>
            </w:r>
          </w:p>
          <w:p w14:paraId="5125DF79" w14:textId="77777777" w:rsidR="007C3DBE" w:rsidRPr="008D7AFD" w:rsidRDefault="007C3DBE" w:rsidP="007C3DBE">
            <w:pPr>
              <w:pStyle w:val="ListParagraph"/>
              <w:numPr>
                <w:ilvl w:val="0"/>
                <w:numId w:val="5"/>
              </w:numPr>
              <w:ind w:left="398" w:hanging="284"/>
              <w:rPr>
                <w:sz w:val="20"/>
                <w:szCs w:val="20"/>
              </w:rPr>
            </w:pPr>
            <w:r w:rsidRPr="008D7AFD">
              <w:rPr>
                <w:sz w:val="20"/>
                <w:szCs w:val="20"/>
              </w:rPr>
              <w:t xml:space="preserve">Exploring supply chains for key sectors </w:t>
            </w:r>
          </w:p>
          <w:p w14:paraId="34FB0624" w14:textId="77777777" w:rsidR="007C3DBE" w:rsidRPr="008D7AFD" w:rsidRDefault="007C3DBE" w:rsidP="007C3DBE">
            <w:pPr>
              <w:pStyle w:val="ListParagraph"/>
              <w:numPr>
                <w:ilvl w:val="0"/>
                <w:numId w:val="5"/>
              </w:numPr>
              <w:ind w:left="398" w:hanging="284"/>
              <w:rPr>
                <w:sz w:val="20"/>
                <w:szCs w:val="20"/>
              </w:rPr>
            </w:pPr>
            <w:r w:rsidRPr="008D7AFD">
              <w:rPr>
                <w:sz w:val="20"/>
                <w:szCs w:val="20"/>
              </w:rPr>
              <w:t>Sustainable Procurement</w:t>
            </w:r>
          </w:p>
          <w:p w14:paraId="0A2BC056" w14:textId="5E71205E" w:rsidR="007C3DBE" w:rsidRPr="008D7AFD" w:rsidRDefault="007C3DBE" w:rsidP="008D7AFD">
            <w:pPr>
              <w:pStyle w:val="ListParagraph"/>
              <w:numPr>
                <w:ilvl w:val="0"/>
                <w:numId w:val="5"/>
              </w:numPr>
              <w:spacing w:after="160" w:line="259" w:lineRule="auto"/>
              <w:ind w:left="398" w:hanging="284"/>
              <w:rPr>
                <w:bCs/>
                <w:sz w:val="20"/>
                <w:szCs w:val="20"/>
              </w:rPr>
            </w:pPr>
            <w:r w:rsidRPr="008D7AFD">
              <w:rPr>
                <w:bCs/>
                <w:sz w:val="20"/>
                <w:szCs w:val="20"/>
              </w:rPr>
              <w:t>Design thinking</w:t>
            </w:r>
          </w:p>
        </w:tc>
      </w:tr>
      <w:tr w:rsidR="007C3DBE" w:rsidRPr="008D7AFD" w14:paraId="2D43D642" w14:textId="77777777" w:rsidTr="007C3DBE">
        <w:tc>
          <w:tcPr>
            <w:tcW w:w="3005" w:type="dxa"/>
          </w:tcPr>
          <w:p w14:paraId="46D4D968" w14:textId="77777777" w:rsidR="007C3DBE" w:rsidRPr="008D7AFD" w:rsidRDefault="007C3DBE" w:rsidP="007C3DBE">
            <w:pPr>
              <w:rPr>
                <w:sz w:val="20"/>
                <w:szCs w:val="20"/>
              </w:rPr>
            </w:pPr>
            <w:r w:rsidRPr="008D7AFD">
              <w:rPr>
                <w:sz w:val="20"/>
                <w:szCs w:val="20"/>
              </w:rPr>
              <w:t xml:space="preserve">Module 3: Circular economy in your operations </w:t>
            </w:r>
          </w:p>
        </w:tc>
        <w:tc>
          <w:tcPr>
            <w:tcW w:w="3005" w:type="dxa"/>
          </w:tcPr>
          <w:p w14:paraId="6EA544B1" w14:textId="77777777" w:rsidR="007C3DBE" w:rsidRPr="008D7AFD" w:rsidRDefault="007C3DBE" w:rsidP="007C3DBE">
            <w:pPr>
              <w:rPr>
                <w:sz w:val="20"/>
                <w:szCs w:val="20"/>
              </w:rPr>
            </w:pPr>
            <w:r w:rsidRPr="008D7AFD">
              <w:rPr>
                <w:sz w:val="20"/>
                <w:szCs w:val="20"/>
              </w:rPr>
              <w:t>Module 3: Resource Efficiency</w:t>
            </w:r>
          </w:p>
        </w:tc>
        <w:tc>
          <w:tcPr>
            <w:tcW w:w="3006" w:type="dxa"/>
          </w:tcPr>
          <w:p w14:paraId="75283AAD" w14:textId="77777777" w:rsidR="007C3DBE" w:rsidRPr="008D7AFD" w:rsidRDefault="007C3DBE" w:rsidP="007C3DBE">
            <w:pPr>
              <w:pStyle w:val="ListParagraph"/>
              <w:numPr>
                <w:ilvl w:val="0"/>
                <w:numId w:val="5"/>
              </w:numPr>
              <w:ind w:left="398" w:hanging="284"/>
              <w:rPr>
                <w:sz w:val="20"/>
                <w:szCs w:val="20"/>
              </w:rPr>
            </w:pPr>
            <w:r w:rsidRPr="008D7AFD">
              <w:rPr>
                <w:sz w:val="20"/>
                <w:szCs w:val="20"/>
              </w:rPr>
              <w:t>Making your operations more resource efficient</w:t>
            </w:r>
          </w:p>
          <w:p w14:paraId="34248EEB" w14:textId="77777777" w:rsidR="007C3DBE" w:rsidRPr="008D7AFD" w:rsidRDefault="007C3DBE" w:rsidP="007C3DBE">
            <w:pPr>
              <w:pStyle w:val="ListParagraph"/>
              <w:numPr>
                <w:ilvl w:val="0"/>
                <w:numId w:val="5"/>
              </w:numPr>
              <w:ind w:left="398" w:hanging="284"/>
              <w:rPr>
                <w:sz w:val="20"/>
                <w:szCs w:val="20"/>
              </w:rPr>
            </w:pPr>
            <w:r w:rsidRPr="008D7AFD">
              <w:rPr>
                <w:sz w:val="20"/>
                <w:szCs w:val="20"/>
              </w:rPr>
              <w:t>Emerging Technologies</w:t>
            </w:r>
          </w:p>
          <w:p w14:paraId="798B930D" w14:textId="77777777" w:rsidR="007C3DBE" w:rsidRPr="008D7AFD" w:rsidRDefault="007C3DBE" w:rsidP="007C3DBE">
            <w:pPr>
              <w:pStyle w:val="ListParagraph"/>
              <w:numPr>
                <w:ilvl w:val="0"/>
                <w:numId w:val="5"/>
              </w:numPr>
              <w:ind w:left="398" w:hanging="284"/>
              <w:rPr>
                <w:sz w:val="20"/>
                <w:szCs w:val="20"/>
              </w:rPr>
            </w:pPr>
            <w:r w:rsidRPr="008D7AFD">
              <w:rPr>
                <w:sz w:val="20"/>
                <w:szCs w:val="20"/>
              </w:rPr>
              <w:t>Life Cycle Analysis (LCA)</w:t>
            </w:r>
          </w:p>
          <w:p w14:paraId="7A955713" w14:textId="77777777" w:rsidR="007C3DBE" w:rsidRPr="008D7AFD" w:rsidRDefault="007C3DBE" w:rsidP="007C3DBE">
            <w:pPr>
              <w:pStyle w:val="ListParagraph"/>
              <w:numPr>
                <w:ilvl w:val="0"/>
                <w:numId w:val="5"/>
              </w:numPr>
              <w:ind w:left="398" w:hanging="284"/>
              <w:rPr>
                <w:sz w:val="20"/>
                <w:szCs w:val="20"/>
              </w:rPr>
            </w:pPr>
            <w:r w:rsidRPr="008D7AFD">
              <w:rPr>
                <w:sz w:val="20"/>
                <w:szCs w:val="20"/>
              </w:rPr>
              <w:t>Product design</w:t>
            </w:r>
          </w:p>
          <w:p w14:paraId="4E3A6FC2" w14:textId="0BC7369E" w:rsidR="007C3DBE" w:rsidRPr="008D7AFD" w:rsidRDefault="007C3DBE" w:rsidP="007C3DBE">
            <w:pPr>
              <w:pStyle w:val="ListParagraph"/>
              <w:numPr>
                <w:ilvl w:val="0"/>
                <w:numId w:val="5"/>
              </w:numPr>
              <w:ind w:left="398" w:hanging="284"/>
              <w:rPr>
                <w:bCs/>
                <w:sz w:val="20"/>
                <w:szCs w:val="20"/>
              </w:rPr>
            </w:pPr>
            <w:r w:rsidRPr="008D7AFD">
              <w:rPr>
                <w:bCs/>
                <w:sz w:val="20"/>
                <w:szCs w:val="20"/>
              </w:rPr>
              <w:t>Circular business models</w:t>
            </w:r>
          </w:p>
          <w:p w14:paraId="14A5874A" w14:textId="77A8032B" w:rsidR="007C3DBE" w:rsidRPr="008D7AFD" w:rsidRDefault="007C3DBE" w:rsidP="008D7AFD">
            <w:pPr>
              <w:pStyle w:val="ListParagraph"/>
              <w:ind w:left="398"/>
              <w:rPr>
                <w:bCs/>
                <w:sz w:val="20"/>
                <w:szCs w:val="20"/>
              </w:rPr>
            </w:pPr>
          </w:p>
        </w:tc>
      </w:tr>
      <w:tr w:rsidR="007C3DBE" w:rsidRPr="008D7AFD" w14:paraId="6E142D07" w14:textId="77777777" w:rsidTr="007C3DBE">
        <w:tc>
          <w:tcPr>
            <w:tcW w:w="3005" w:type="dxa"/>
          </w:tcPr>
          <w:p w14:paraId="1E7F7A8B" w14:textId="77777777" w:rsidR="007C3DBE" w:rsidRPr="008D7AFD" w:rsidRDefault="007C3DBE" w:rsidP="007C3DBE">
            <w:pPr>
              <w:rPr>
                <w:sz w:val="20"/>
                <w:szCs w:val="20"/>
              </w:rPr>
            </w:pPr>
            <w:r w:rsidRPr="008D7AFD">
              <w:rPr>
                <w:sz w:val="20"/>
                <w:szCs w:val="20"/>
              </w:rPr>
              <w:t>Module 4: Circular economy and customer engagement</w:t>
            </w:r>
          </w:p>
        </w:tc>
        <w:tc>
          <w:tcPr>
            <w:tcW w:w="3005" w:type="dxa"/>
          </w:tcPr>
          <w:p w14:paraId="1B8CF4CC" w14:textId="77777777" w:rsidR="007C3DBE" w:rsidRPr="008D7AFD" w:rsidRDefault="007C3DBE" w:rsidP="007C3DBE">
            <w:pPr>
              <w:rPr>
                <w:sz w:val="20"/>
                <w:szCs w:val="20"/>
              </w:rPr>
            </w:pPr>
            <w:r w:rsidRPr="008D7AFD">
              <w:rPr>
                <w:sz w:val="20"/>
                <w:szCs w:val="20"/>
              </w:rPr>
              <w:t>Module 4: Customer Engagement</w:t>
            </w:r>
          </w:p>
        </w:tc>
        <w:tc>
          <w:tcPr>
            <w:tcW w:w="3006" w:type="dxa"/>
          </w:tcPr>
          <w:p w14:paraId="099808D5" w14:textId="0C57ED18" w:rsidR="007C3DBE" w:rsidRPr="008D7AFD" w:rsidRDefault="007C3DBE" w:rsidP="007C3DBE">
            <w:pPr>
              <w:pStyle w:val="ListParagraph"/>
              <w:numPr>
                <w:ilvl w:val="0"/>
                <w:numId w:val="5"/>
              </w:numPr>
              <w:ind w:left="398" w:hanging="284"/>
              <w:rPr>
                <w:sz w:val="20"/>
                <w:szCs w:val="20"/>
              </w:rPr>
            </w:pPr>
            <w:r w:rsidRPr="008D7AFD">
              <w:rPr>
                <w:sz w:val="20"/>
                <w:szCs w:val="20"/>
              </w:rPr>
              <w:t>Customer perceptions and behaviour change</w:t>
            </w:r>
          </w:p>
          <w:p w14:paraId="28979B3D" w14:textId="77777777" w:rsidR="007C3DBE" w:rsidRPr="008D7AFD" w:rsidRDefault="007C3DBE" w:rsidP="007C3DBE">
            <w:pPr>
              <w:pStyle w:val="ListParagraph"/>
              <w:numPr>
                <w:ilvl w:val="0"/>
                <w:numId w:val="5"/>
              </w:numPr>
              <w:ind w:left="398" w:hanging="284"/>
              <w:rPr>
                <w:sz w:val="20"/>
                <w:szCs w:val="20"/>
              </w:rPr>
            </w:pPr>
            <w:r w:rsidRPr="008D7AFD">
              <w:rPr>
                <w:sz w:val="20"/>
                <w:szCs w:val="20"/>
              </w:rPr>
              <w:t>Customer Engagement</w:t>
            </w:r>
          </w:p>
          <w:p w14:paraId="0D5ED3A1" w14:textId="0B649D20" w:rsidR="007C3DBE" w:rsidRPr="008D7AFD" w:rsidRDefault="007C3DBE" w:rsidP="007C3DBE">
            <w:pPr>
              <w:pStyle w:val="ListParagraph"/>
              <w:numPr>
                <w:ilvl w:val="0"/>
                <w:numId w:val="5"/>
              </w:numPr>
              <w:ind w:left="398" w:hanging="284"/>
              <w:rPr>
                <w:sz w:val="20"/>
                <w:szCs w:val="20"/>
              </w:rPr>
            </w:pPr>
            <w:r w:rsidRPr="008D7AFD">
              <w:rPr>
                <w:sz w:val="20"/>
                <w:szCs w:val="20"/>
              </w:rPr>
              <w:t>Telling your story</w:t>
            </w:r>
          </w:p>
          <w:p w14:paraId="2292A016" w14:textId="2DEC9AAF" w:rsidR="007C3DBE" w:rsidRPr="008D7AFD" w:rsidRDefault="007C3DBE" w:rsidP="008D7AFD">
            <w:pPr>
              <w:pStyle w:val="ListParagraph"/>
              <w:ind w:left="398"/>
              <w:rPr>
                <w:sz w:val="20"/>
                <w:szCs w:val="20"/>
              </w:rPr>
            </w:pPr>
          </w:p>
        </w:tc>
      </w:tr>
      <w:tr w:rsidR="007C3DBE" w:rsidRPr="008D7AFD" w14:paraId="50BB0874" w14:textId="77777777" w:rsidTr="007C3DBE">
        <w:trPr>
          <w:trHeight w:val="145"/>
        </w:trPr>
        <w:tc>
          <w:tcPr>
            <w:tcW w:w="3005" w:type="dxa"/>
          </w:tcPr>
          <w:p w14:paraId="1C42D55F" w14:textId="77777777" w:rsidR="007C3DBE" w:rsidRPr="008D7AFD" w:rsidRDefault="007C3DBE" w:rsidP="007C3DBE">
            <w:pPr>
              <w:rPr>
                <w:sz w:val="20"/>
                <w:szCs w:val="20"/>
              </w:rPr>
            </w:pPr>
            <w:r w:rsidRPr="008D7AFD">
              <w:rPr>
                <w:sz w:val="20"/>
                <w:szCs w:val="20"/>
              </w:rPr>
              <w:t xml:space="preserve">Mentoring </w:t>
            </w:r>
          </w:p>
        </w:tc>
        <w:tc>
          <w:tcPr>
            <w:tcW w:w="3005" w:type="dxa"/>
          </w:tcPr>
          <w:p w14:paraId="4B004E4A" w14:textId="77777777" w:rsidR="007C3DBE" w:rsidRPr="008D7AFD" w:rsidRDefault="007C3DBE" w:rsidP="007C3DBE">
            <w:pPr>
              <w:rPr>
                <w:sz w:val="20"/>
                <w:szCs w:val="20"/>
              </w:rPr>
            </w:pPr>
            <w:r w:rsidRPr="008D7AFD">
              <w:rPr>
                <w:sz w:val="20"/>
                <w:szCs w:val="20"/>
              </w:rPr>
              <w:t>Mentoring</w:t>
            </w:r>
          </w:p>
        </w:tc>
        <w:tc>
          <w:tcPr>
            <w:tcW w:w="3006" w:type="dxa"/>
          </w:tcPr>
          <w:p w14:paraId="65C8503C" w14:textId="77777777" w:rsidR="007C3DBE" w:rsidRPr="008D7AFD" w:rsidRDefault="007C3DBE" w:rsidP="007C3DBE">
            <w:pPr>
              <w:rPr>
                <w:sz w:val="20"/>
                <w:szCs w:val="20"/>
              </w:rPr>
            </w:pPr>
          </w:p>
        </w:tc>
      </w:tr>
    </w:tbl>
    <w:p w14:paraId="0012571A" w14:textId="77777777" w:rsidR="007C3DBE" w:rsidRPr="008D7AFD" w:rsidRDefault="007C3DBE" w:rsidP="007A5D61">
      <w:pPr>
        <w:spacing w:after="0" w:line="240" w:lineRule="auto"/>
        <w:rPr>
          <w:b/>
          <w:bCs/>
        </w:rPr>
      </w:pPr>
    </w:p>
    <w:p w14:paraId="55C46E51" w14:textId="77777777" w:rsidR="007C3DBE" w:rsidRPr="008D7AFD" w:rsidRDefault="007C3DBE" w:rsidP="007A5D61">
      <w:pPr>
        <w:spacing w:after="0" w:line="240" w:lineRule="auto"/>
        <w:rPr>
          <w:b/>
          <w:bCs/>
        </w:rPr>
      </w:pPr>
    </w:p>
    <w:p w14:paraId="25662410" w14:textId="34F39323" w:rsidR="00091810" w:rsidRPr="008D7AFD" w:rsidRDefault="007A5D61" w:rsidP="007A5D61">
      <w:pPr>
        <w:spacing w:after="0" w:line="240" w:lineRule="auto"/>
        <w:rPr>
          <w:b/>
          <w:bCs/>
        </w:rPr>
      </w:pPr>
      <w:r w:rsidRPr="008D7AFD">
        <w:rPr>
          <w:b/>
          <w:bCs/>
        </w:rPr>
        <w:t xml:space="preserve">Can I participate in the </w:t>
      </w:r>
      <w:r w:rsidR="006C06E4" w:rsidRPr="008D7AFD">
        <w:rPr>
          <w:b/>
          <w:bCs/>
        </w:rPr>
        <w:t xml:space="preserve">Dublin </w:t>
      </w:r>
      <w:r w:rsidRPr="008D7AFD">
        <w:rPr>
          <w:b/>
          <w:bCs/>
        </w:rPr>
        <w:t>MODOS programme if my business is not located in Dublin</w:t>
      </w:r>
      <w:r w:rsidR="006C06E4" w:rsidRPr="008D7AFD">
        <w:rPr>
          <w:b/>
          <w:bCs/>
        </w:rPr>
        <w:t>? Equally, can Dublin-based businesses participate in the National MODOS programme?</w:t>
      </w:r>
    </w:p>
    <w:p w14:paraId="74B926F9" w14:textId="66A3302C" w:rsidR="007A5D61" w:rsidRPr="008D7AFD" w:rsidRDefault="007A5D61" w:rsidP="007A5D61">
      <w:r w:rsidRPr="008D7AFD">
        <w:t>Yes</w:t>
      </w:r>
      <w:r w:rsidR="006C06E4" w:rsidRPr="008D7AFD">
        <w:t xml:space="preserve"> in both cases</w:t>
      </w:r>
      <w:r w:rsidRPr="008D7AFD">
        <w:t>, but as there will be a limited number of places on each training course (maximum 30 participants per module)</w:t>
      </w:r>
      <w:r w:rsidR="006C06E4" w:rsidRPr="008D7AFD">
        <w:t xml:space="preserve">, </w:t>
      </w:r>
      <w:r w:rsidRPr="008D7AFD">
        <w:t xml:space="preserve">if demand is high, priority will be given to Dublin-based businesses in </w:t>
      </w:r>
      <w:r w:rsidRPr="008D7AFD">
        <w:lastRenderedPageBreak/>
        <w:t>respect of the Dublin MODOS programme and</w:t>
      </w:r>
      <w:r w:rsidR="006C06E4" w:rsidRPr="008D7AFD">
        <w:t xml:space="preserve"> </w:t>
      </w:r>
      <w:r w:rsidRPr="008D7AFD">
        <w:t xml:space="preserve">to non-Dublin based </w:t>
      </w:r>
      <w:r w:rsidR="007C3DBE" w:rsidRPr="008D7AFD">
        <w:t xml:space="preserve">businesses </w:t>
      </w:r>
      <w:r w:rsidRPr="008D7AFD">
        <w:t xml:space="preserve">in respect of the National MODOS programme. </w:t>
      </w:r>
    </w:p>
    <w:p w14:paraId="5CC4A9B1" w14:textId="77777777" w:rsidR="00ED131A" w:rsidRPr="008D7AFD" w:rsidRDefault="00ED131A" w:rsidP="007A5D61">
      <w:pPr>
        <w:spacing w:after="0" w:line="240" w:lineRule="auto"/>
        <w:rPr>
          <w:b/>
          <w:bCs/>
        </w:rPr>
      </w:pPr>
    </w:p>
    <w:p w14:paraId="14494429" w14:textId="1D7BE665" w:rsidR="007A5D61" w:rsidRPr="008D7AFD" w:rsidRDefault="007A5D61" w:rsidP="00ED131A">
      <w:pPr>
        <w:spacing w:after="0"/>
        <w:rPr>
          <w:b/>
          <w:bCs/>
        </w:rPr>
      </w:pPr>
      <w:r w:rsidRPr="008D7AFD">
        <w:rPr>
          <w:b/>
          <w:bCs/>
        </w:rPr>
        <w:t xml:space="preserve">How does </w:t>
      </w:r>
      <w:r w:rsidR="006C06E4" w:rsidRPr="008D7AFD">
        <w:rPr>
          <w:b/>
          <w:bCs/>
        </w:rPr>
        <w:t xml:space="preserve">sustainability and </w:t>
      </w:r>
      <w:r w:rsidRPr="008D7AFD">
        <w:rPr>
          <w:b/>
          <w:bCs/>
        </w:rPr>
        <w:t>sustainable business relate to the circular economy?</w:t>
      </w:r>
    </w:p>
    <w:p w14:paraId="7CED64CD" w14:textId="35428570" w:rsidR="001838EE" w:rsidRPr="008D7AFD" w:rsidRDefault="001838EE" w:rsidP="007A5D61">
      <w:r w:rsidRPr="008D7AFD">
        <w:t xml:space="preserve">Sustainability is about </w:t>
      </w:r>
      <w:r w:rsidR="007A5D61" w:rsidRPr="008D7AFD">
        <w:t xml:space="preserve">balancing social, environmental and economic considerations to ensure that human society can develop and endure over the long term. </w:t>
      </w:r>
      <w:r w:rsidRPr="008D7AFD">
        <w:t xml:space="preserve">A sustainable business is one that gives due consideration to social, environmental and economic issues in its decision-making and actions. </w:t>
      </w:r>
    </w:p>
    <w:p w14:paraId="4969BE80" w14:textId="1669828E" w:rsidR="00D05720" w:rsidRPr="008D7AFD" w:rsidRDefault="007C3DBE" w:rsidP="00952B6A">
      <w:r w:rsidRPr="008D7AFD">
        <w:t>T</w:t>
      </w:r>
      <w:r w:rsidR="007A5D61" w:rsidRPr="008D7AFD">
        <w:t>he world is facing an unprecedented environmental crisis, from climate change</w:t>
      </w:r>
      <w:r w:rsidR="001838EE" w:rsidRPr="008D7AFD">
        <w:t>, to biodiversity loss,</w:t>
      </w:r>
      <w:r w:rsidR="007A5D61" w:rsidRPr="008D7AFD">
        <w:t xml:space="preserve"> to an over-consumption of </w:t>
      </w:r>
      <w:r w:rsidR="001838EE" w:rsidRPr="008D7AFD">
        <w:t>materials and</w:t>
      </w:r>
      <w:r w:rsidR="00D05720" w:rsidRPr="008D7AFD">
        <w:t xml:space="preserve"> </w:t>
      </w:r>
      <w:r w:rsidR="007A5D61" w:rsidRPr="008D7AFD">
        <w:t xml:space="preserve">resources. </w:t>
      </w:r>
      <w:r w:rsidR="001838EE" w:rsidRPr="008D7AFD">
        <w:t xml:space="preserve">The science is clear that we need to reduce Greenhouse Gas Emissions (GHG) to ‘net-zero’ by 2050 if we are to </w:t>
      </w:r>
      <w:r w:rsidRPr="008D7AFD">
        <w:t xml:space="preserve">‘decarbonise’ our economy and </w:t>
      </w:r>
      <w:r w:rsidR="001838EE" w:rsidRPr="008D7AFD">
        <w:t xml:space="preserve">avoid catastropic climate change. Around 55% of </w:t>
      </w:r>
      <w:r w:rsidRPr="008D7AFD">
        <w:t>GHG emissions</w:t>
      </w:r>
      <w:r w:rsidR="001838EE" w:rsidRPr="008D7AFD">
        <w:t xml:space="preserve"> reductions </w:t>
      </w:r>
      <w:r w:rsidRPr="008D7AFD">
        <w:t>will come</w:t>
      </w:r>
      <w:r w:rsidR="001838EE" w:rsidRPr="008D7AFD">
        <w:t xml:space="preserve"> from switching to renewable energy sources. The remaining 45% </w:t>
      </w:r>
      <w:r w:rsidRPr="008D7AFD">
        <w:t xml:space="preserve">will </w:t>
      </w:r>
      <w:r w:rsidR="00952B6A" w:rsidRPr="008D7AFD">
        <w:t>come fr</w:t>
      </w:r>
      <w:r w:rsidRPr="008D7AFD">
        <w:t>om changing how we make and use products</w:t>
      </w:r>
      <w:r w:rsidR="00952B6A" w:rsidRPr="008D7AFD">
        <w:t xml:space="preserve"> and how we produce food. This is where the circular economy comes in. By adopting circular economy principles, businesses will use natural resources more efficiently, cut down on carbon emissions and waste, and decarbonise their products and services. In this way, the shift to a circular economy is an essential part of </w:t>
      </w:r>
      <w:r w:rsidR="009A57AC" w:rsidRPr="008D7AFD">
        <w:t xml:space="preserve">the transition to a zero carbon </w:t>
      </w:r>
      <w:r w:rsidR="00952B6A" w:rsidRPr="008D7AFD">
        <w:t xml:space="preserve">future.   </w:t>
      </w:r>
    </w:p>
    <w:p w14:paraId="1EB399F0" w14:textId="77777777" w:rsidR="00ED131A" w:rsidRPr="008D7AFD" w:rsidRDefault="00ED131A" w:rsidP="00ED131A">
      <w:pPr>
        <w:spacing w:after="0"/>
        <w:rPr>
          <w:b/>
          <w:bCs/>
        </w:rPr>
      </w:pPr>
    </w:p>
    <w:p w14:paraId="1A515E4C" w14:textId="33F02476" w:rsidR="00D05720" w:rsidRPr="008D7AFD" w:rsidRDefault="00D05720" w:rsidP="00ED131A">
      <w:pPr>
        <w:spacing w:after="0"/>
        <w:rPr>
          <w:b/>
          <w:bCs/>
        </w:rPr>
      </w:pPr>
      <w:r w:rsidRPr="008D7AFD">
        <w:rPr>
          <w:b/>
          <w:bCs/>
        </w:rPr>
        <w:t>What are the benefits of th</w:t>
      </w:r>
      <w:r w:rsidR="00ED131A" w:rsidRPr="008D7AFD">
        <w:rPr>
          <w:b/>
          <w:bCs/>
        </w:rPr>
        <w:t xml:space="preserve">is programme </w:t>
      </w:r>
      <w:r w:rsidRPr="008D7AFD">
        <w:rPr>
          <w:b/>
          <w:bCs/>
        </w:rPr>
        <w:t xml:space="preserve">for my </w:t>
      </w:r>
      <w:r w:rsidR="00ED131A" w:rsidRPr="008D7AFD">
        <w:rPr>
          <w:b/>
          <w:bCs/>
        </w:rPr>
        <w:t>business</w:t>
      </w:r>
      <w:r w:rsidRPr="008D7AFD">
        <w:rPr>
          <w:b/>
          <w:bCs/>
        </w:rPr>
        <w:t>?</w:t>
      </w:r>
    </w:p>
    <w:p w14:paraId="798286F4" w14:textId="6DE26129" w:rsidR="00D05720" w:rsidRPr="008D7AFD" w:rsidRDefault="00ED131A" w:rsidP="00D05720">
      <w:r w:rsidRPr="008D7AFD">
        <w:t xml:space="preserve">By participating in the MODOS programme, you will learn about </w:t>
      </w:r>
      <w:r w:rsidR="00D05720" w:rsidRPr="008D7AFD">
        <w:t xml:space="preserve">circular economy principles </w:t>
      </w:r>
      <w:r w:rsidRPr="008D7AFD">
        <w:t xml:space="preserve">and how to integrate </w:t>
      </w:r>
      <w:r w:rsidR="00952B6A" w:rsidRPr="008D7AFD">
        <w:t>them</w:t>
      </w:r>
      <w:r w:rsidRPr="008D7AFD">
        <w:t xml:space="preserve"> into </w:t>
      </w:r>
      <w:r w:rsidR="00D05720" w:rsidRPr="008D7AFD">
        <w:t>your business</w:t>
      </w:r>
      <w:r w:rsidRPr="008D7AFD">
        <w:t xml:space="preserve">. By doing </w:t>
      </w:r>
      <w:r w:rsidR="00952B6A" w:rsidRPr="008D7AFD">
        <w:t>so</w:t>
      </w:r>
      <w:r w:rsidRPr="008D7AFD">
        <w:t xml:space="preserve"> your business will</w:t>
      </w:r>
      <w:r w:rsidR="00D05720" w:rsidRPr="008D7AFD">
        <w:t>:</w:t>
      </w:r>
    </w:p>
    <w:p w14:paraId="1F803BC6" w14:textId="61CB680A" w:rsidR="00D05720" w:rsidRPr="008D7AFD" w:rsidRDefault="00D05720" w:rsidP="00ED131A">
      <w:pPr>
        <w:pStyle w:val="ListParagraph"/>
        <w:numPr>
          <w:ilvl w:val="0"/>
          <w:numId w:val="2"/>
        </w:numPr>
        <w:spacing w:after="0"/>
      </w:pPr>
      <w:r w:rsidRPr="008D7AFD">
        <w:t>Save money, reduce waste and increase resilience</w:t>
      </w:r>
    </w:p>
    <w:p w14:paraId="1581DB99" w14:textId="6A71B00E" w:rsidR="00D05720" w:rsidRPr="008D7AFD" w:rsidRDefault="00D05720" w:rsidP="00ED131A">
      <w:pPr>
        <w:pStyle w:val="ListParagraph"/>
        <w:numPr>
          <w:ilvl w:val="0"/>
          <w:numId w:val="2"/>
        </w:numPr>
        <w:spacing w:after="0"/>
      </w:pPr>
      <w:r w:rsidRPr="008D7AFD">
        <w:t>Boost competitive advantage and brand reputation</w:t>
      </w:r>
    </w:p>
    <w:p w14:paraId="31D226B1" w14:textId="799F1F06" w:rsidR="00D05720" w:rsidRPr="008D7AFD" w:rsidRDefault="00D05720" w:rsidP="00ED131A">
      <w:pPr>
        <w:pStyle w:val="ListParagraph"/>
        <w:numPr>
          <w:ilvl w:val="0"/>
          <w:numId w:val="2"/>
        </w:numPr>
        <w:spacing w:after="0"/>
      </w:pPr>
      <w:r w:rsidRPr="008D7AFD">
        <w:t>Unlock new business opportunities that also help the environment</w:t>
      </w:r>
    </w:p>
    <w:p w14:paraId="50F8E8C9" w14:textId="77777777" w:rsidR="00ED131A" w:rsidRPr="008D7AFD" w:rsidRDefault="00ED131A" w:rsidP="00ED131A">
      <w:pPr>
        <w:spacing w:after="0"/>
      </w:pPr>
    </w:p>
    <w:p w14:paraId="04CC054A" w14:textId="48FA9DF5" w:rsidR="00D05720" w:rsidRPr="008D7AFD" w:rsidRDefault="00ED131A" w:rsidP="00ED131A">
      <w:pPr>
        <w:spacing w:after="0"/>
      </w:pPr>
      <w:r w:rsidRPr="008D7AFD">
        <w:t xml:space="preserve">There are </w:t>
      </w:r>
      <w:r w:rsidR="00952B6A" w:rsidRPr="008D7AFD">
        <w:t xml:space="preserve">also </w:t>
      </w:r>
      <w:r w:rsidRPr="008D7AFD">
        <w:t>other less tangible benefits to consider including:</w:t>
      </w:r>
    </w:p>
    <w:p w14:paraId="68773BBE" w14:textId="518AA4A2" w:rsidR="00ED131A" w:rsidRPr="008D7AFD" w:rsidRDefault="00ED131A" w:rsidP="00ED131A">
      <w:pPr>
        <w:pStyle w:val="ListParagraph"/>
        <w:numPr>
          <w:ilvl w:val="0"/>
          <w:numId w:val="2"/>
        </w:numPr>
        <w:spacing w:after="0"/>
      </w:pPr>
      <w:r w:rsidRPr="008D7AFD">
        <w:t>Meeting like-minded companies and learn</w:t>
      </w:r>
      <w:r w:rsidR="00952B6A" w:rsidRPr="008D7AFD">
        <w:t>ing</w:t>
      </w:r>
      <w:r w:rsidRPr="008D7AFD">
        <w:t xml:space="preserve"> from their experiences</w:t>
      </w:r>
    </w:p>
    <w:p w14:paraId="48B98F1B" w14:textId="4EDAB284" w:rsidR="00ED131A" w:rsidRPr="008D7AFD" w:rsidRDefault="00ED131A" w:rsidP="00ED131A">
      <w:pPr>
        <w:pStyle w:val="ListParagraph"/>
        <w:numPr>
          <w:ilvl w:val="0"/>
          <w:numId w:val="2"/>
        </w:numPr>
        <w:spacing w:after="0"/>
      </w:pPr>
      <w:r w:rsidRPr="008D7AFD">
        <w:t>Potentially develop</w:t>
      </w:r>
      <w:r w:rsidR="00952B6A" w:rsidRPr="008D7AFD">
        <w:t>ing</w:t>
      </w:r>
      <w:r w:rsidRPr="008D7AFD">
        <w:t xml:space="preserve"> collaborative projects with participating companies</w:t>
      </w:r>
    </w:p>
    <w:p w14:paraId="29A02C34" w14:textId="0B82DD03" w:rsidR="00ED131A" w:rsidRPr="008D7AFD" w:rsidRDefault="00ED131A" w:rsidP="00ED131A">
      <w:pPr>
        <w:pStyle w:val="ListParagraph"/>
        <w:numPr>
          <w:ilvl w:val="0"/>
          <w:numId w:val="2"/>
        </w:numPr>
        <w:spacing w:after="0"/>
      </w:pPr>
      <w:r w:rsidRPr="008D7AFD">
        <w:t>Learn</w:t>
      </w:r>
      <w:r w:rsidR="00952B6A" w:rsidRPr="008D7AFD">
        <w:t>ing</w:t>
      </w:r>
      <w:r w:rsidRPr="008D7AFD">
        <w:t xml:space="preserve"> from expert trainers and </w:t>
      </w:r>
      <w:r w:rsidR="00952B6A" w:rsidRPr="008D7AFD">
        <w:t xml:space="preserve">gaining </w:t>
      </w:r>
      <w:r w:rsidRPr="008D7AFD">
        <w:t xml:space="preserve">access </w:t>
      </w:r>
      <w:r w:rsidR="00952B6A" w:rsidRPr="008D7AFD">
        <w:t xml:space="preserve">to </w:t>
      </w:r>
      <w:r w:rsidRPr="008D7AFD">
        <w:t xml:space="preserve">their </w:t>
      </w:r>
      <w:r w:rsidR="00952B6A" w:rsidRPr="008D7AFD">
        <w:t xml:space="preserve">Irish and international </w:t>
      </w:r>
      <w:r w:rsidRPr="008D7AFD">
        <w:t>networks</w:t>
      </w:r>
    </w:p>
    <w:p w14:paraId="0F3FB565" w14:textId="77777777" w:rsidR="00ED131A" w:rsidRPr="008D7AFD" w:rsidRDefault="00ED131A">
      <w:pPr>
        <w:rPr>
          <w:b/>
          <w:bCs/>
        </w:rPr>
      </w:pPr>
    </w:p>
    <w:p w14:paraId="474D6D74" w14:textId="1A1EAC26" w:rsidR="007A5D61" w:rsidRPr="008D7AFD" w:rsidRDefault="007A5D61" w:rsidP="00ED131A">
      <w:pPr>
        <w:spacing w:after="0"/>
        <w:rPr>
          <w:b/>
          <w:bCs/>
        </w:rPr>
      </w:pPr>
      <w:r w:rsidRPr="008D7AFD">
        <w:rPr>
          <w:b/>
          <w:bCs/>
        </w:rPr>
        <w:t xml:space="preserve">I don’t work in the private sector. </w:t>
      </w:r>
      <w:r w:rsidR="00D05720" w:rsidRPr="008D7AFD">
        <w:rPr>
          <w:b/>
          <w:bCs/>
        </w:rPr>
        <w:t>Is this programme</w:t>
      </w:r>
      <w:r w:rsidRPr="008D7AFD">
        <w:rPr>
          <w:b/>
          <w:bCs/>
        </w:rPr>
        <w:t xml:space="preserve"> suitable for me?</w:t>
      </w:r>
    </w:p>
    <w:p w14:paraId="4DA7E0BD" w14:textId="37417344" w:rsidR="007A5D61" w:rsidRPr="008D7AFD" w:rsidRDefault="00D05720" w:rsidP="00D05720">
      <w:r w:rsidRPr="008D7AFD">
        <w:t xml:space="preserve">The MODOS programme is aimed at </w:t>
      </w:r>
      <w:r w:rsidR="00952B6A" w:rsidRPr="008D7AFD">
        <w:t xml:space="preserve">micro, </w:t>
      </w:r>
      <w:r w:rsidRPr="008D7AFD">
        <w:t xml:space="preserve">small and medium size enterprises. It is suitable for businesses from all sectors but those from the following sectors are likely to find it particularly relevant:  construction and the built environment, food, retail, manufacturing, textiles and fashion, electronics, plastics and packaging. </w:t>
      </w:r>
    </w:p>
    <w:p w14:paraId="15A7B841" w14:textId="7F8F093B" w:rsidR="00D05720" w:rsidRPr="008D7AFD" w:rsidRDefault="00D05720" w:rsidP="00D05720">
      <w:r w:rsidRPr="008D7AFD">
        <w:t xml:space="preserve">If you do not work in the private sector, it will be more difficult to relate to the training content and engage with the exercises. However, </w:t>
      </w:r>
      <w:r w:rsidR="00952B6A" w:rsidRPr="008D7AFD">
        <w:t xml:space="preserve">do </w:t>
      </w:r>
      <w:r w:rsidRPr="008D7AFD">
        <w:t>send us an email and we will give you a call to discuss</w:t>
      </w:r>
      <w:r w:rsidR="00952B6A" w:rsidRPr="008D7AFD">
        <w:t xml:space="preserve"> in more detail</w:t>
      </w:r>
      <w:r w:rsidRPr="008D7AFD">
        <w:t xml:space="preserve">. </w:t>
      </w:r>
    </w:p>
    <w:p w14:paraId="7F606926" w14:textId="77777777" w:rsidR="008D7AFD" w:rsidRDefault="008D7AFD" w:rsidP="00ED131A">
      <w:pPr>
        <w:spacing w:after="0"/>
      </w:pPr>
    </w:p>
    <w:p w14:paraId="2177FD65" w14:textId="2A8CCE06" w:rsidR="007A5D61" w:rsidRPr="008D7AFD" w:rsidRDefault="007A5D61" w:rsidP="00ED131A">
      <w:pPr>
        <w:spacing w:after="0"/>
        <w:rPr>
          <w:b/>
          <w:bCs/>
        </w:rPr>
      </w:pPr>
      <w:r w:rsidRPr="008D7AFD">
        <w:rPr>
          <w:b/>
          <w:bCs/>
        </w:rPr>
        <w:t xml:space="preserve">I am a consultant. </w:t>
      </w:r>
      <w:r w:rsidR="00ED131A" w:rsidRPr="008D7AFD">
        <w:rPr>
          <w:b/>
          <w:bCs/>
        </w:rPr>
        <w:t xml:space="preserve">Is the MODOS programme </w:t>
      </w:r>
      <w:r w:rsidRPr="008D7AFD">
        <w:rPr>
          <w:b/>
          <w:bCs/>
        </w:rPr>
        <w:t>suitable for me?</w:t>
      </w:r>
    </w:p>
    <w:p w14:paraId="03B917FD" w14:textId="3B78DC22" w:rsidR="007A5D61" w:rsidRPr="008D7AFD" w:rsidRDefault="00ED131A">
      <w:r w:rsidRPr="008D7AFD">
        <w:t>No, the MODOS programme i</w:t>
      </w:r>
      <w:r w:rsidR="008D7AFD">
        <w:t>s not suitable for consultants.</w:t>
      </w:r>
    </w:p>
    <w:p w14:paraId="398571DF" w14:textId="4F6E5718" w:rsidR="007A5D61" w:rsidRPr="008D7AFD" w:rsidRDefault="007A5D61"/>
    <w:p w14:paraId="385F8A5C" w14:textId="77777777" w:rsidR="007A5D61" w:rsidRPr="008D7AFD" w:rsidRDefault="007A5D61" w:rsidP="0084689E"/>
    <w:sectPr w:rsidR="007A5D61" w:rsidRPr="008D7A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Yu Gothic Light">
    <w:altName w:val="游ゴシック Light"/>
    <w:panose1 w:val="00000000000000000000"/>
    <w:charset w:val="80"/>
    <w:family w:val="roman"/>
    <w:notTrueType/>
    <w:pitch w:val="default"/>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C1C7A"/>
    <w:multiLevelType w:val="hybridMultilevel"/>
    <w:tmpl w:val="31C81980"/>
    <w:lvl w:ilvl="0" w:tplc="77B4ADEE">
      <w:numFmt w:val="bullet"/>
      <w:lvlText w:val="•"/>
      <w:lvlJc w:val="left"/>
      <w:pPr>
        <w:ind w:left="720" w:hanging="720"/>
      </w:pPr>
      <w:rPr>
        <w:rFonts w:ascii="Calibri Light" w:eastAsiaTheme="minorHAnsi" w:hAnsi="Calibri Light" w:cs="Calibri Light"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2444215"/>
    <w:multiLevelType w:val="hybridMultilevel"/>
    <w:tmpl w:val="AE3CB0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4F20CA9"/>
    <w:multiLevelType w:val="hybridMultilevel"/>
    <w:tmpl w:val="E0F49D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2555C0B"/>
    <w:multiLevelType w:val="hybridMultilevel"/>
    <w:tmpl w:val="BBEA8EB6"/>
    <w:lvl w:ilvl="0" w:tplc="B4C43516">
      <w:start w:val="10"/>
      <w:numFmt w:val="bullet"/>
      <w:lvlText w:val="-"/>
      <w:lvlJc w:val="left"/>
      <w:pPr>
        <w:ind w:left="720" w:hanging="720"/>
      </w:pPr>
      <w:rPr>
        <w:rFonts w:ascii="Calibri" w:hAnsi="Calibri"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536220E1"/>
    <w:multiLevelType w:val="hybridMultilevel"/>
    <w:tmpl w:val="28BAEFCC"/>
    <w:lvl w:ilvl="0" w:tplc="77B4ADEE">
      <w:numFmt w:val="bullet"/>
      <w:lvlText w:val="•"/>
      <w:lvlJc w:val="left"/>
      <w:pPr>
        <w:ind w:left="1080" w:hanging="720"/>
      </w:pPr>
      <w:rPr>
        <w:rFonts w:ascii="Calibri Light" w:eastAsiaTheme="minorHAnsi"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6F"/>
    <w:rsid w:val="00091810"/>
    <w:rsid w:val="001838EE"/>
    <w:rsid w:val="00222EF5"/>
    <w:rsid w:val="006C06E4"/>
    <w:rsid w:val="007A5D61"/>
    <w:rsid w:val="007C3DBE"/>
    <w:rsid w:val="0084689E"/>
    <w:rsid w:val="008D7AFD"/>
    <w:rsid w:val="00952B6A"/>
    <w:rsid w:val="009A57AC"/>
    <w:rsid w:val="00A24E4A"/>
    <w:rsid w:val="00AF610A"/>
    <w:rsid w:val="00BA2B6A"/>
    <w:rsid w:val="00D05720"/>
    <w:rsid w:val="00E83D6F"/>
    <w:rsid w:val="00ED131A"/>
    <w:rsid w:val="00F0100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049690"/>
  <w15:docId w15:val="{293FBBD8-63CF-41F6-A05F-AE54D150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D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D61"/>
    <w:rPr>
      <w:rFonts w:ascii="Segoe UI" w:hAnsi="Segoe UI" w:cs="Segoe UI"/>
      <w:sz w:val="18"/>
      <w:szCs w:val="18"/>
    </w:rPr>
  </w:style>
  <w:style w:type="paragraph" w:styleId="ListParagraph">
    <w:name w:val="List Paragraph"/>
    <w:basedOn w:val="Normal"/>
    <w:uiPriority w:val="34"/>
    <w:qFormat/>
    <w:rsid w:val="00ED131A"/>
    <w:pPr>
      <w:ind w:left="720"/>
      <w:contextualSpacing/>
    </w:pPr>
  </w:style>
  <w:style w:type="table" w:styleId="TableGrid">
    <w:name w:val="Table Grid"/>
    <w:basedOn w:val="TableNormal"/>
    <w:uiPriority w:val="39"/>
    <w:rsid w:val="00ED1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A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41430">
      <w:bodyDiv w:val="1"/>
      <w:marLeft w:val="0"/>
      <w:marRight w:val="0"/>
      <w:marTop w:val="0"/>
      <w:marBottom w:val="0"/>
      <w:divBdr>
        <w:top w:val="none" w:sz="0" w:space="0" w:color="auto"/>
        <w:left w:val="none" w:sz="0" w:space="0" w:color="auto"/>
        <w:bottom w:val="none" w:sz="0" w:space="0" w:color="auto"/>
        <w:right w:val="none" w:sz="0" w:space="0" w:color="auto"/>
      </w:divBdr>
    </w:div>
    <w:div w:id="27093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www.changebydegrees.com" TargetMode="External"/><Relationship Id="rId3" Type="http://schemas.openxmlformats.org/officeDocument/2006/relationships/settings" Target="settings.xml"/><Relationship Id="rId7" Type="http://schemas.openxmlformats.org/officeDocument/2006/relationships/hyperlink" Target="mailto:https://ctc-cork.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ttps://clearstreamsolutions.ie" TargetMode="External"/><Relationship Id="rId5" Type="http://schemas.openxmlformats.org/officeDocument/2006/relationships/hyperlink" Target="mailto:https://www.sustainabilityworks.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4486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Aideen O'Hora</dc:creator>
  <cp:keywords/>
  <dc:description/>
  <cp:lastModifiedBy>Patricia O'Keeffe</cp:lastModifiedBy>
  <cp:revision>2</cp:revision>
  <dcterms:created xsi:type="dcterms:W3CDTF">2020-07-31T08:09:00Z</dcterms:created>
  <dcterms:modified xsi:type="dcterms:W3CDTF">2020-07-31T08:09:00Z</dcterms:modified>
</cp:coreProperties>
</file>